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6E7" w:rsidRDefault="001C36E7">
      <w:r w:rsidRPr="001C36E7">
        <w:rPr>
          <w:noProof/>
          <w:lang w:eastAsia="es-ES"/>
        </w:rPr>
        <w:drawing>
          <wp:inline distT="0" distB="0" distL="0" distR="0">
            <wp:extent cx="1062990" cy="948626"/>
            <wp:effectExtent l="19050" t="0" r="3810" b="0"/>
            <wp:docPr id="10" name="Image 0" descr="AA LyceeFrancais_BlockLogo_Couleur-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AA LyceeFrancais_BlockLogo_Couleur-page-001.jpg"/>
                    <pic:cNvPicPr>
                      <a:picLocks noChangeAspect="1" noChangeArrowheads="1"/>
                    </pic:cNvPicPr>
                  </pic:nvPicPr>
                  <pic:blipFill>
                    <a:blip r:embed="rId8" cstate="print"/>
                    <a:srcRect l="25252" t="19051" r="25252" b="19051"/>
                    <a:stretch>
                      <a:fillRect/>
                    </a:stretch>
                  </pic:blipFill>
                  <pic:spPr bwMode="auto">
                    <a:xfrm>
                      <a:off x="0" y="0"/>
                      <a:ext cx="1071669" cy="956371"/>
                    </a:xfrm>
                    <a:prstGeom prst="rect">
                      <a:avLst/>
                    </a:prstGeom>
                    <a:noFill/>
                    <a:ln w="9525">
                      <a:noFill/>
                      <a:miter lim="800000"/>
                      <a:headEnd/>
                      <a:tailEnd/>
                    </a:ln>
                  </pic:spPr>
                </pic:pic>
              </a:graphicData>
            </a:graphic>
          </wp:inline>
        </w:drawing>
      </w:r>
      <w:r>
        <w:tab/>
      </w:r>
      <w:r>
        <w:tab/>
      </w:r>
      <w:r>
        <w:tab/>
      </w:r>
      <w:r>
        <w:tab/>
      </w:r>
      <w:r>
        <w:tab/>
      </w:r>
      <w:r>
        <w:tab/>
      </w:r>
      <w:r>
        <w:tab/>
      </w:r>
      <w:r w:rsidRPr="001C36E7">
        <w:rPr>
          <w:noProof/>
          <w:lang w:eastAsia="es-ES"/>
        </w:rPr>
        <w:drawing>
          <wp:inline distT="0" distB="0" distL="0" distR="0">
            <wp:extent cx="1043796" cy="539433"/>
            <wp:effectExtent l="0" t="0" r="0" b="0"/>
            <wp:docPr id="11" name="Image 4" descr="logo_aefe_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aefe_ec"/>
                    <pic:cNvPicPr>
                      <a:picLocks noChangeAspect="1" noChangeArrowheads="1"/>
                    </pic:cNvPicPr>
                  </pic:nvPicPr>
                  <pic:blipFill>
                    <a:blip r:embed="rId9" cstate="print"/>
                    <a:srcRect/>
                    <a:stretch>
                      <a:fillRect/>
                    </a:stretch>
                  </pic:blipFill>
                  <pic:spPr bwMode="auto">
                    <a:xfrm>
                      <a:off x="0" y="0"/>
                      <a:ext cx="1043716" cy="539392"/>
                    </a:xfrm>
                    <a:prstGeom prst="rect">
                      <a:avLst/>
                    </a:prstGeom>
                    <a:noFill/>
                    <a:ln w="9525">
                      <a:noFill/>
                      <a:miter lim="800000"/>
                      <a:headEnd/>
                      <a:tailEnd/>
                    </a:ln>
                  </pic:spPr>
                </pic:pic>
              </a:graphicData>
            </a:graphic>
          </wp:inline>
        </w:drawing>
      </w:r>
    </w:p>
    <w:tbl>
      <w:tblPr>
        <w:tblStyle w:val="Grilledutableau"/>
        <w:tblW w:w="0" w:type="auto"/>
        <w:tblLook w:val="04A0"/>
      </w:tblPr>
      <w:tblGrid>
        <w:gridCol w:w="8644"/>
      </w:tblGrid>
      <w:tr w:rsidR="001C36E7" w:rsidRPr="00906A73" w:rsidTr="001C36E7">
        <w:tc>
          <w:tcPr>
            <w:tcW w:w="8644" w:type="dxa"/>
            <w:shd w:val="clear" w:color="auto" w:fill="31849B" w:themeFill="accent5" w:themeFillShade="BF"/>
          </w:tcPr>
          <w:p w:rsidR="001C36E7" w:rsidRDefault="001C36E7" w:rsidP="001C36E7"/>
          <w:p w:rsidR="001C36E7" w:rsidRPr="00403DD1" w:rsidRDefault="001C36E7" w:rsidP="001C36E7">
            <w:pPr>
              <w:pBdr>
                <w:right w:val="single" w:sz="4" w:space="4" w:color="auto"/>
              </w:pBdr>
              <w:shd w:val="clear" w:color="auto" w:fill="31849B" w:themeFill="accent5" w:themeFillShade="BF"/>
              <w:jc w:val="center"/>
              <w:rPr>
                <w:rFonts w:ascii="Arial" w:hAnsi="Arial" w:cs="Arial"/>
                <w:color w:val="FFFFFF" w:themeColor="background1"/>
                <w:sz w:val="36"/>
                <w:szCs w:val="36"/>
                <w:lang w:val="fr-FR"/>
              </w:rPr>
            </w:pPr>
            <w:r w:rsidRPr="00403DD1">
              <w:rPr>
                <w:rFonts w:ascii="Arial" w:hAnsi="Arial" w:cs="Arial"/>
                <w:color w:val="FFFFFF" w:themeColor="background1"/>
                <w:sz w:val="36"/>
                <w:szCs w:val="36"/>
                <w:lang w:val="fr-FR"/>
              </w:rPr>
              <w:t>Protocole de traitement des situations de harcèlement</w:t>
            </w:r>
          </w:p>
          <w:p w:rsidR="001C36E7" w:rsidRDefault="001C36E7" w:rsidP="001C36E7">
            <w:pPr>
              <w:pBdr>
                <w:right w:val="single" w:sz="4" w:space="4" w:color="auto"/>
              </w:pBdr>
              <w:shd w:val="clear" w:color="auto" w:fill="31849B" w:themeFill="accent5" w:themeFillShade="BF"/>
              <w:jc w:val="center"/>
              <w:rPr>
                <w:rFonts w:ascii="Arial" w:hAnsi="Arial" w:cs="Arial"/>
                <w:color w:val="FFFFFF" w:themeColor="background1"/>
                <w:sz w:val="36"/>
                <w:szCs w:val="36"/>
                <w:lang w:val="fr-FR"/>
              </w:rPr>
            </w:pPr>
            <w:r w:rsidRPr="00403DD1">
              <w:rPr>
                <w:rFonts w:ascii="Arial" w:hAnsi="Arial" w:cs="Arial"/>
                <w:color w:val="FFFFFF" w:themeColor="background1"/>
                <w:sz w:val="36"/>
                <w:szCs w:val="36"/>
                <w:lang w:val="fr-FR"/>
              </w:rPr>
              <w:t>Lycée Français International d´Ibiza</w:t>
            </w:r>
          </w:p>
          <w:p w:rsidR="001C36E7" w:rsidRDefault="001C36E7" w:rsidP="001C36E7">
            <w:pPr>
              <w:pBdr>
                <w:right w:val="single" w:sz="4" w:space="4" w:color="auto"/>
              </w:pBdr>
              <w:shd w:val="clear" w:color="auto" w:fill="31849B" w:themeFill="accent5" w:themeFillShade="BF"/>
              <w:jc w:val="center"/>
              <w:rPr>
                <w:rFonts w:ascii="Arial" w:hAnsi="Arial" w:cs="Arial"/>
                <w:color w:val="FFFFFF" w:themeColor="background1"/>
                <w:sz w:val="36"/>
                <w:szCs w:val="36"/>
                <w:lang w:val="fr-FR"/>
              </w:rPr>
            </w:pPr>
          </w:p>
          <w:p w:rsidR="001C36E7" w:rsidRPr="00403DD1" w:rsidRDefault="001C36E7" w:rsidP="001C36E7">
            <w:pPr>
              <w:pBdr>
                <w:right w:val="single" w:sz="4" w:space="4" w:color="auto"/>
              </w:pBdr>
              <w:shd w:val="clear" w:color="auto" w:fill="31849B" w:themeFill="accent5" w:themeFillShade="BF"/>
              <w:jc w:val="center"/>
              <w:rPr>
                <w:rFonts w:ascii="Arial" w:hAnsi="Arial" w:cs="Arial"/>
                <w:color w:val="FFFFFF" w:themeColor="background1"/>
                <w:sz w:val="36"/>
                <w:szCs w:val="36"/>
                <w:lang w:val="fr-FR"/>
              </w:rPr>
            </w:pPr>
            <w:r>
              <w:rPr>
                <w:rFonts w:ascii="Arial" w:hAnsi="Arial" w:cs="Arial"/>
                <w:color w:val="FFFFFF" w:themeColor="background1"/>
                <w:sz w:val="36"/>
                <w:szCs w:val="36"/>
                <w:lang w:val="fr-FR"/>
              </w:rPr>
              <w:t xml:space="preserve">Grilles de repérages </w:t>
            </w:r>
            <w:r w:rsidR="00E14FE6">
              <w:rPr>
                <w:rFonts w:ascii="Arial" w:hAnsi="Arial" w:cs="Arial"/>
                <w:color w:val="FFFFFF" w:themeColor="background1"/>
                <w:sz w:val="36"/>
                <w:szCs w:val="36"/>
                <w:lang w:val="fr-FR"/>
              </w:rPr>
              <w:t>à la maison</w:t>
            </w:r>
          </w:p>
          <w:p w:rsidR="001C36E7" w:rsidRPr="00FD5162" w:rsidRDefault="001C36E7">
            <w:pPr>
              <w:rPr>
                <w:lang w:val="fr-FR"/>
              </w:rPr>
            </w:pPr>
          </w:p>
        </w:tc>
      </w:tr>
    </w:tbl>
    <w:p w:rsidR="001C36E7" w:rsidRPr="00FD5162" w:rsidRDefault="001C36E7">
      <w:pPr>
        <w:rPr>
          <w:lang w:val="fr-FR"/>
        </w:rPr>
      </w:pPr>
    </w:p>
    <w:p w:rsidR="001C36E7" w:rsidRPr="001C36E7" w:rsidRDefault="00906A73" w:rsidP="001C36E7">
      <w:pPr>
        <w:jc w:val="center"/>
        <w:rPr>
          <w:rFonts w:ascii="Arial" w:hAnsi="Arial" w:cs="Arial"/>
          <w:sz w:val="28"/>
          <w:szCs w:val="28"/>
          <w:lang w:val="fr-FR"/>
        </w:rPr>
      </w:pPr>
      <w:r>
        <w:rPr>
          <w:rFonts w:ascii="Arial" w:hAnsi="Arial" w:cs="Arial"/>
          <w:sz w:val="28"/>
          <w:szCs w:val="28"/>
          <w:lang w:val="fr-FR"/>
        </w:rPr>
        <w:t>Année 2024 – 2025</w:t>
      </w:r>
    </w:p>
    <w:p w:rsidR="001C36E7" w:rsidRDefault="001C36E7" w:rsidP="001C36E7">
      <w:pPr>
        <w:jc w:val="center"/>
        <w:rPr>
          <w:lang w:val="fr-FR"/>
        </w:rPr>
      </w:pPr>
      <w:r w:rsidRPr="001C36E7">
        <w:rPr>
          <w:rFonts w:ascii="Arial" w:hAnsi="Arial" w:cs="Arial"/>
          <w:b/>
          <w:color w:val="31849B" w:themeColor="accent5" w:themeShade="BF"/>
          <w:sz w:val="28"/>
          <w:szCs w:val="28"/>
          <w:lang w:val="fr-FR"/>
        </w:rPr>
        <w:t>Comment utiliser cette grille de repérage ?</w:t>
      </w:r>
    </w:p>
    <w:p w:rsidR="001C36E7" w:rsidRDefault="001C36E7" w:rsidP="001C36E7">
      <w:pPr>
        <w:ind w:firstLine="708"/>
        <w:jc w:val="both"/>
        <w:rPr>
          <w:rFonts w:ascii="Arial" w:hAnsi="Arial" w:cs="Arial"/>
          <w:lang w:val="fr-FR"/>
        </w:rPr>
      </w:pPr>
      <w:r w:rsidRPr="001C36E7">
        <w:rPr>
          <w:rFonts w:ascii="Arial" w:hAnsi="Arial" w:cs="Arial"/>
          <w:lang w:val="fr-FR"/>
        </w:rPr>
        <w:t>Cette grille est un outil annexe du protocole de traitement des situations de harcèlement à destination des professionnels de l´établissement, pouvant permettre de lever les doutes sur la dé</w:t>
      </w:r>
      <w:r>
        <w:rPr>
          <w:rFonts w:ascii="Arial" w:hAnsi="Arial" w:cs="Arial"/>
          <w:lang w:val="fr-FR"/>
        </w:rPr>
        <w:t xml:space="preserve">tection de ce type de situation. </w:t>
      </w:r>
    </w:p>
    <w:p w:rsidR="001C36E7" w:rsidRPr="001C36E7" w:rsidRDefault="001C36E7" w:rsidP="001C36E7">
      <w:pPr>
        <w:ind w:firstLine="708"/>
        <w:jc w:val="both"/>
        <w:rPr>
          <w:rFonts w:ascii="Arial" w:hAnsi="Arial" w:cs="Arial"/>
          <w:lang w:val="fr-FR"/>
        </w:rPr>
      </w:pPr>
      <w:r w:rsidRPr="001C36E7">
        <w:rPr>
          <w:rFonts w:ascii="Arial" w:hAnsi="Arial" w:cs="Arial"/>
          <w:lang w:val="fr-FR"/>
        </w:rPr>
        <w:t>On sait en effet que les élèves ont tendance à sous-estimer les faits dont ils sont victimes. Il revient donc aux adultes – équipe pédagogique, éducative, parents, etc. – de croiser leurs regards, afin de mieux observer les différentes situations dans le</w:t>
      </w:r>
      <w:r>
        <w:rPr>
          <w:rFonts w:ascii="Arial" w:hAnsi="Arial" w:cs="Arial"/>
          <w:lang w:val="fr-FR"/>
        </w:rPr>
        <w:t xml:space="preserve">squelles se trouve l’élève </w:t>
      </w:r>
      <w:r w:rsidRPr="001C36E7">
        <w:rPr>
          <w:rFonts w:ascii="Arial" w:hAnsi="Arial" w:cs="Arial"/>
          <w:lang w:val="fr-FR"/>
        </w:rPr>
        <w:t xml:space="preserve">et son comportement. </w:t>
      </w:r>
      <w:r>
        <w:rPr>
          <w:rFonts w:ascii="Arial" w:hAnsi="Arial" w:cs="Arial"/>
          <w:lang w:val="fr-FR"/>
        </w:rPr>
        <w:t xml:space="preserve">Elle </w:t>
      </w:r>
      <w:r w:rsidRPr="001C36E7">
        <w:rPr>
          <w:rFonts w:ascii="Arial" w:hAnsi="Arial" w:cs="Arial"/>
          <w:lang w:val="fr-FR"/>
        </w:rPr>
        <w:t xml:space="preserve">peut être utilisée pendant quelques jours ou sur une période donnée, afin d’observer les élèves, pour déterminer, de manière croisée, s’il y a harcèlement ou violence. </w:t>
      </w:r>
    </w:p>
    <w:p w:rsidR="001C36E7" w:rsidRPr="001C36E7" w:rsidRDefault="001C36E7" w:rsidP="001C36E7">
      <w:pPr>
        <w:ind w:firstLine="708"/>
        <w:jc w:val="both"/>
        <w:rPr>
          <w:rFonts w:ascii="Arial" w:hAnsi="Arial" w:cs="Arial"/>
          <w:lang w:val="fr-FR"/>
        </w:rPr>
      </w:pPr>
      <w:r w:rsidRPr="001C36E7">
        <w:rPr>
          <w:rFonts w:ascii="Arial" w:hAnsi="Arial" w:cs="Arial"/>
          <w:lang w:val="fr-FR"/>
        </w:rPr>
        <w:t xml:space="preserve">Elle est un outil utile lors de rendez-vous avec les parents de l’élève victime car permet d’examiner avec eux les signaux repérés à la maison et dans l’établissement pour évaluer la situation et mettre en place des solutions. Pour le ou les élève(s) présumés auteur(s), elle permet de faire prendre conscience des faits reprochés et les rendre acteurs de la résolution. La grille peut aussi servir dans les entretiens avec les élèves victimes, auteurs et témoins pour objectiver les faits. </w:t>
      </w:r>
    </w:p>
    <w:p w:rsidR="001C36E7" w:rsidRDefault="001C36E7" w:rsidP="001C36E7">
      <w:pPr>
        <w:ind w:firstLine="708"/>
        <w:jc w:val="both"/>
        <w:rPr>
          <w:rFonts w:ascii="Arial" w:hAnsi="Arial" w:cs="Arial"/>
          <w:lang w:val="fr-FR"/>
        </w:rPr>
      </w:pPr>
      <w:r w:rsidRPr="001C36E7">
        <w:rPr>
          <w:rFonts w:ascii="Arial" w:hAnsi="Arial" w:cs="Arial"/>
          <w:lang w:val="fr-FR"/>
        </w:rPr>
        <w:t>Les cases peuvent être cochées ou la fréquence peut être notifiée à l’aide de bâtons qui renvoient à la notion de répétition, caractéristique essentielle du harcèlement. S’il n’y a pas répétition mais des violences évidentes, l’établissement doit aussi réagir. Si tous les éléments présents ne sont pas cochés, cela ne signifie pas qu’il n’y a pas de harcèlement. Il faut envisager cette grille simplement comme une aide pour appréhender la situation et pour penser de manière collective. En parallèle, noter en marge de la grille, les propos entendus, par exemple, permettant de comprendre toute information permettant d’apporter les précisions utiles à la compréhension de la situation et à sa résolution.</w:t>
      </w:r>
    </w:p>
    <w:p w:rsidR="001C36E7" w:rsidRDefault="001C36E7" w:rsidP="001C36E7">
      <w:pPr>
        <w:ind w:firstLine="708"/>
        <w:jc w:val="both"/>
        <w:rPr>
          <w:rFonts w:ascii="Arial" w:hAnsi="Arial" w:cs="Arial"/>
          <w:lang w:val="fr-FR"/>
        </w:rPr>
      </w:pPr>
    </w:p>
    <w:p w:rsidR="001C36E7" w:rsidRDefault="001C36E7" w:rsidP="001C36E7">
      <w:pPr>
        <w:ind w:firstLine="708"/>
        <w:jc w:val="center"/>
        <w:rPr>
          <w:rFonts w:ascii="Arial" w:hAnsi="Arial" w:cs="Arial"/>
          <w:b/>
          <w:color w:val="31849B" w:themeColor="accent5" w:themeShade="BF"/>
          <w:sz w:val="28"/>
          <w:szCs w:val="28"/>
          <w:lang w:val="fr-FR"/>
        </w:rPr>
      </w:pPr>
      <w:r>
        <w:rPr>
          <w:rFonts w:ascii="Arial" w:hAnsi="Arial" w:cs="Arial"/>
          <w:b/>
          <w:color w:val="31849B" w:themeColor="accent5" w:themeShade="BF"/>
          <w:sz w:val="28"/>
          <w:szCs w:val="28"/>
          <w:lang w:val="fr-FR"/>
        </w:rPr>
        <w:t>G</w:t>
      </w:r>
      <w:r w:rsidRPr="001C36E7">
        <w:rPr>
          <w:rFonts w:ascii="Arial" w:hAnsi="Arial" w:cs="Arial"/>
          <w:b/>
          <w:color w:val="31849B" w:themeColor="accent5" w:themeShade="BF"/>
          <w:sz w:val="28"/>
          <w:szCs w:val="28"/>
          <w:lang w:val="fr-FR"/>
        </w:rPr>
        <w:t>rille de repérage</w:t>
      </w:r>
      <w:r w:rsidR="00E14FE6">
        <w:rPr>
          <w:rFonts w:ascii="Arial" w:hAnsi="Arial" w:cs="Arial"/>
          <w:b/>
          <w:color w:val="31849B" w:themeColor="accent5" w:themeShade="BF"/>
          <w:sz w:val="28"/>
          <w:szCs w:val="28"/>
          <w:lang w:val="fr-FR"/>
        </w:rPr>
        <w:t xml:space="preserve"> à la maison</w:t>
      </w:r>
    </w:p>
    <w:p w:rsidR="001C36E7" w:rsidRDefault="001C36E7" w:rsidP="001C36E7">
      <w:pPr>
        <w:pStyle w:val="Sansinterligne"/>
        <w:numPr>
          <w:ilvl w:val="0"/>
          <w:numId w:val="1"/>
        </w:numPr>
        <w:rPr>
          <w:rFonts w:ascii="Arial" w:hAnsi="Arial" w:cs="Arial"/>
          <w:i/>
          <w:lang w:val="fr-FR"/>
        </w:rPr>
      </w:pPr>
      <w:r w:rsidRPr="001C36E7">
        <w:rPr>
          <w:rFonts w:ascii="Arial" w:hAnsi="Arial" w:cs="Arial"/>
          <w:i/>
          <w:lang w:val="fr-FR"/>
        </w:rPr>
        <w:t xml:space="preserve">A transmettre à la cellule de prévention de l´établissement par courriel à </w:t>
      </w:r>
      <w:hyperlink r:id="rId10" w:history="1">
        <w:r w:rsidRPr="001C36E7">
          <w:rPr>
            <w:rStyle w:val="Lienhypertexte"/>
            <w:rFonts w:ascii="Arial" w:hAnsi="Arial" w:cs="Arial"/>
            <w:i/>
            <w:lang w:val="fr-FR"/>
          </w:rPr>
          <w:t>prevention@lfi-ibiza.com</w:t>
        </w:r>
      </w:hyperlink>
      <w:r w:rsidRPr="001C36E7">
        <w:rPr>
          <w:rFonts w:ascii="Arial" w:hAnsi="Arial" w:cs="Arial"/>
          <w:i/>
          <w:lang w:val="fr-FR"/>
        </w:rPr>
        <w:t xml:space="preserve"> </w:t>
      </w:r>
    </w:p>
    <w:p w:rsidR="001C36E7" w:rsidRPr="001C36E7" w:rsidRDefault="001C36E7" w:rsidP="001C36E7">
      <w:pPr>
        <w:pStyle w:val="Sansinterligne"/>
        <w:rPr>
          <w:rFonts w:ascii="Arial" w:hAnsi="Arial" w:cs="Arial"/>
          <w:i/>
          <w:lang w:val="fr-FR"/>
        </w:rPr>
      </w:pPr>
    </w:p>
    <w:p w:rsidR="001C36E7" w:rsidRPr="00DC71E9" w:rsidRDefault="001C36E7" w:rsidP="001C36E7">
      <w:pPr>
        <w:pStyle w:val="Sansinterligne"/>
        <w:rPr>
          <w:rFonts w:ascii="Arial" w:hAnsi="Arial" w:cs="Arial"/>
          <w:lang w:val="fr-FR"/>
        </w:rPr>
      </w:pPr>
      <w:r w:rsidRPr="00DC71E9">
        <w:rPr>
          <w:rFonts w:ascii="Arial" w:hAnsi="Arial" w:cs="Arial"/>
          <w:lang w:val="fr-FR"/>
        </w:rPr>
        <w:t xml:space="preserve">Identification de l´élève concerné : </w:t>
      </w:r>
    </w:p>
    <w:p w:rsidR="001C36E7" w:rsidRPr="00DC71E9" w:rsidRDefault="001C36E7" w:rsidP="001C36E7">
      <w:pPr>
        <w:pStyle w:val="Sansinterligne"/>
        <w:rPr>
          <w:rFonts w:ascii="Arial" w:hAnsi="Arial" w:cs="Arial"/>
          <w:lang w:val="fr-FR"/>
        </w:rPr>
      </w:pPr>
      <w:r w:rsidRPr="00DC71E9">
        <w:rPr>
          <w:rFonts w:ascii="Arial" w:hAnsi="Arial" w:cs="Arial"/>
          <w:lang w:val="fr-FR"/>
        </w:rPr>
        <w:t xml:space="preserve">Classe : </w:t>
      </w:r>
    </w:p>
    <w:p w:rsidR="001C36E7" w:rsidRPr="00DC71E9" w:rsidRDefault="001C36E7" w:rsidP="001C36E7">
      <w:pPr>
        <w:pStyle w:val="Sansinterligne"/>
        <w:rPr>
          <w:rFonts w:ascii="Arial" w:hAnsi="Arial" w:cs="Arial"/>
          <w:lang w:val="fr-FR"/>
        </w:rPr>
      </w:pPr>
      <w:r w:rsidRPr="00DC71E9">
        <w:rPr>
          <w:rFonts w:ascii="Arial" w:hAnsi="Arial" w:cs="Arial"/>
          <w:lang w:val="fr-FR"/>
        </w:rPr>
        <w:t xml:space="preserve">Identification de l´adulte à l´origine de la grille : </w:t>
      </w:r>
    </w:p>
    <w:p w:rsidR="001C36E7" w:rsidRDefault="001C36E7" w:rsidP="001C36E7">
      <w:pPr>
        <w:pStyle w:val="Sansinterligne"/>
        <w:rPr>
          <w:rFonts w:ascii="Arial" w:hAnsi="Arial" w:cs="Arial"/>
          <w:lang w:val="fr-FR"/>
        </w:rPr>
      </w:pPr>
      <w:r w:rsidRPr="00DC71E9">
        <w:rPr>
          <w:rFonts w:ascii="Arial" w:hAnsi="Arial" w:cs="Arial"/>
          <w:lang w:val="fr-FR"/>
        </w:rPr>
        <w:t xml:space="preserve">Date ou période d´utilisation de la grille : </w:t>
      </w:r>
    </w:p>
    <w:p w:rsidR="001C36E7" w:rsidRDefault="001C36E7" w:rsidP="001C36E7">
      <w:pPr>
        <w:pStyle w:val="Sansinterligne"/>
        <w:rPr>
          <w:rFonts w:ascii="Arial" w:hAnsi="Arial" w:cs="Arial"/>
          <w:lang w:val="fr-FR"/>
        </w:rPr>
      </w:pPr>
    </w:p>
    <w:tbl>
      <w:tblPr>
        <w:tblStyle w:val="Grilledutableau"/>
        <w:tblW w:w="9039" w:type="dxa"/>
        <w:tblLook w:val="04A0"/>
      </w:tblPr>
      <w:tblGrid>
        <w:gridCol w:w="2802"/>
        <w:gridCol w:w="2268"/>
        <w:gridCol w:w="1984"/>
        <w:gridCol w:w="1985"/>
      </w:tblGrid>
      <w:tr w:rsidR="00E14FE6" w:rsidRPr="00906A73" w:rsidTr="00E14FE6">
        <w:tc>
          <w:tcPr>
            <w:tcW w:w="2802" w:type="dxa"/>
            <w:shd w:val="clear" w:color="auto" w:fill="31849B" w:themeFill="accent5" w:themeFillShade="BF"/>
          </w:tcPr>
          <w:p w:rsidR="00E14FE6" w:rsidRPr="001C36E7" w:rsidRDefault="00E14FE6" w:rsidP="00C65C86">
            <w:pPr>
              <w:jc w:val="center"/>
              <w:rPr>
                <w:rFonts w:ascii="Arial" w:hAnsi="Arial" w:cs="Arial"/>
                <w:b/>
                <w:color w:val="FFFFFF" w:themeColor="background1"/>
                <w:sz w:val="20"/>
                <w:szCs w:val="20"/>
              </w:rPr>
            </w:pPr>
            <w:r w:rsidRPr="001C36E7">
              <w:rPr>
                <w:rFonts w:ascii="Arial" w:hAnsi="Arial" w:cs="Arial"/>
                <w:b/>
                <w:color w:val="FFFFFF" w:themeColor="background1"/>
                <w:sz w:val="20"/>
                <w:szCs w:val="20"/>
              </w:rPr>
              <w:t>Signaux</w:t>
            </w:r>
          </w:p>
        </w:tc>
        <w:tc>
          <w:tcPr>
            <w:tcW w:w="2268" w:type="dxa"/>
            <w:shd w:val="clear" w:color="auto" w:fill="31849B" w:themeFill="accent5" w:themeFillShade="BF"/>
          </w:tcPr>
          <w:p w:rsidR="00E14FE6" w:rsidRPr="001C36E7" w:rsidRDefault="00E14FE6" w:rsidP="00C65C86">
            <w:pPr>
              <w:jc w:val="center"/>
              <w:rPr>
                <w:rFonts w:ascii="Arial" w:hAnsi="Arial" w:cs="Arial"/>
                <w:b/>
                <w:color w:val="FFFFFF" w:themeColor="background1"/>
                <w:sz w:val="20"/>
                <w:szCs w:val="20"/>
                <w:lang w:val="fr-FR"/>
              </w:rPr>
            </w:pPr>
            <w:r w:rsidRPr="001C36E7">
              <w:rPr>
                <w:rFonts w:ascii="Arial" w:hAnsi="Arial" w:cs="Arial"/>
                <w:b/>
                <w:color w:val="FFFFFF" w:themeColor="background1"/>
                <w:sz w:val="20"/>
                <w:szCs w:val="20"/>
                <w:lang w:val="fr-FR"/>
              </w:rPr>
              <w:t>Fréquences des signaux</w:t>
            </w:r>
          </w:p>
          <w:p w:rsidR="00E14FE6" w:rsidRPr="001C36E7" w:rsidRDefault="00E14FE6" w:rsidP="00C65C86">
            <w:pPr>
              <w:jc w:val="center"/>
              <w:rPr>
                <w:rFonts w:ascii="Arial" w:hAnsi="Arial" w:cs="Arial"/>
                <w:i/>
                <w:color w:val="FFFFFF" w:themeColor="background1"/>
                <w:sz w:val="20"/>
                <w:szCs w:val="20"/>
                <w:lang w:val="fr-FR"/>
              </w:rPr>
            </w:pPr>
            <w:r w:rsidRPr="001C36E7">
              <w:rPr>
                <w:rFonts w:ascii="Arial" w:hAnsi="Arial" w:cs="Arial"/>
                <w:i/>
                <w:color w:val="FFFFFF" w:themeColor="background1"/>
                <w:sz w:val="20"/>
                <w:szCs w:val="20"/>
                <w:lang w:val="fr-FR"/>
              </w:rPr>
              <w:t>(une à plusieurs croix peuvent être inscrites à chaque rubrique)</w:t>
            </w:r>
          </w:p>
        </w:tc>
        <w:tc>
          <w:tcPr>
            <w:tcW w:w="1984" w:type="dxa"/>
            <w:shd w:val="clear" w:color="auto" w:fill="31849B" w:themeFill="accent5" w:themeFillShade="BF"/>
          </w:tcPr>
          <w:p w:rsidR="00E14FE6" w:rsidRPr="001C36E7" w:rsidRDefault="00E14FE6" w:rsidP="00C65C86">
            <w:pPr>
              <w:jc w:val="center"/>
              <w:rPr>
                <w:rFonts w:ascii="Arial" w:hAnsi="Arial" w:cs="Arial"/>
                <w:b/>
                <w:color w:val="FFFFFF" w:themeColor="background1"/>
                <w:sz w:val="20"/>
                <w:szCs w:val="20"/>
                <w:lang w:val="fr-FR"/>
              </w:rPr>
            </w:pPr>
            <w:r>
              <w:rPr>
                <w:rFonts w:ascii="Arial" w:hAnsi="Arial" w:cs="Arial"/>
                <w:b/>
                <w:color w:val="FFFFFF" w:themeColor="background1"/>
                <w:sz w:val="20"/>
                <w:szCs w:val="20"/>
                <w:lang w:val="fr-FR"/>
              </w:rPr>
              <w:t>Commentaire de l´enfant sur le signal repéré</w:t>
            </w:r>
          </w:p>
        </w:tc>
        <w:tc>
          <w:tcPr>
            <w:tcW w:w="1985" w:type="dxa"/>
            <w:shd w:val="clear" w:color="auto" w:fill="31849B" w:themeFill="accent5" w:themeFillShade="BF"/>
          </w:tcPr>
          <w:p w:rsidR="00E14FE6" w:rsidRPr="001C36E7" w:rsidRDefault="00E14FE6" w:rsidP="00C65C86">
            <w:pPr>
              <w:jc w:val="center"/>
              <w:rPr>
                <w:rFonts w:ascii="Arial" w:hAnsi="Arial" w:cs="Arial"/>
                <w:b/>
                <w:color w:val="FFFFFF" w:themeColor="background1"/>
                <w:sz w:val="20"/>
                <w:szCs w:val="20"/>
                <w:lang w:val="fr-FR"/>
              </w:rPr>
            </w:pPr>
            <w:r>
              <w:rPr>
                <w:rFonts w:ascii="Arial" w:hAnsi="Arial" w:cs="Arial"/>
                <w:b/>
                <w:color w:val="FFFFFF" w:themeColor="background1"/>
                <w:sz w:val="20"/>
                <w:szCs w:val="20"/>
                <w:lang w:val="fr-FR"/>
              </w:rPr>
              <w:t>Identification de la personne de l´école à l´origine du mal-être</w:t>
            </w:r>
          </w:p>
        </w:tc>
      </w:tr>
      <w:tr w:rsidR="00E14FE6" w:rsidRPr="00906A73" w:rsidTr="00E14FE6">
        <w:tc>
          <w:tcPr>
            <w:tcW w:w="2802" w:type="dxa"/>
          </w:tcPr>
          <w:p w:rsidR="00E14FE6" w:rsidRPr="00E14FE6" w:rsidRDefault="00E14FE6" w:rsidP="00C65C86">
            <w:pPr>
              <w:rPr>
                <w:rFonts w:ascii="Arial" w:hAnsi="Arial" w:cs="Arial"/>
                <w:sz w:val="20"/>
                <w:szCs w:val="20"/>
                <w:lang w:val="fr-FR"/>
              </w:rPr>
            </w:pPr>
            <w:r w:rsidRPr="00E14FE6">
              <w:rPr>
                <w:rFonts w:ascii="Arial" w:hAnsi="Arial" w:cs="Arial"/>
                <w:sz w:val="20"/>
                <w:szCs w:val="20"/>
                <w:lang w:val="fr-FR"/>
              </w:rPr>
              <w:t>Troubles du sommeil, cauchemars, difficultés d’endormissement ou de réveil</w:t>
            </w:r>
          </w:p>
        </w:tc>
        <w:tc>
          <w:tcPr>
            <w:tcW w:w="2268" w:type="dxa"/>
          </w:tcPr>
          <w:p w:rsidR="00E14FE6" w:rsidRPr="00DC71E9" w:rsidRDefault="00E14FE6" w:rsidP="00C65C86">
            <w:pPr>
              <w:rPr>
                <w:lang w:val="fr-FR"/>
              </w:rPr>
            </w:pPr>
          </w:p>
        </w:tc>
        <w:tc>
          <w:tcPr>
            <w:tcW w:w="1984" w:type="dxa"/>
          </w:tcPr>
          <w:p w:rsidR="00E14FE6" w:rsidRPr="00DC71E9" w:rsidRDefault="00E14FE6" w:rsidP="00C65C86">
            <w:pPr>
              <w:rPr>
                <w:lang w:val="fr-FR"/>
              </w:rPr>
            </w:pPr>
          </w:p>
        </w:tc>
        <w:tc>
          <w:tcPr>
            <w:tcW w:w="1985" w:type="dxa"/>
          </w:tcPr>
          <w:p w:rsidR="00E14FE6" w:rsidRPr="00DC71E9" w:rsidRDefault="00E14FE6" w:rsidP="00C65C86">
            <w:pPr>
              <w:rPr>
                <w:lang w:val="fr-FR"/>
              </w:rPr>
            </w:pPr>
          </w:p>
        </w:tc>
      </w:tr>
      <w:tr w:rsidR="00E14FE6" w:rsidRPr="00DC71E9" w:rsidTr="00E14FE6">
        <w:tc>
          <w:tcPr>
            <w:tcW w:w="2802" w:type="dxa"/>
          </w:tcPr>
          <w:p w:rsidR="00E14FE6" w:rsidRPr="001C36E7" w:rsidRDefault="00E14FE6" w:rsidP="00C65C86">
            <w:pPr>
              <w:rPr>
                <w:rFonts w:ascii="Arial" w:hAnsi="Arial" w:cs="Arial"/>
                <w:sz w:val="20"/>
                <w:szCs w:val="20"/>
                <w:lang w:val="fr-FR"/>
              </w:rPr>
            </w:pPr>
            <w:r>
              <w:rPr>
                <w:rFonts w:ascii="Arial" w:hAnsi="Arial" w:cs="Arial"/>
                <w:sz w:val="20"/>
                <w:szCs w:val="20"/>
                <w:lang w:val="fr-FR"/>
              </w:rPr>
              <w:t>Nervosité</w:t>
            </w:r>
            <w:r w:rsidR="00A67868">
              <w:rPr>
                <w:rFonts w:ascii="Arial" w:hAnsi="Arial" w:cs="Arial"/>
                <w:sz w:val="20"/>
                <w:szCs w:val="20"/>
                <w:lang w:val="fr-FR"/>
              </w:rPr>
              <w:t>, tristesse, anxiété</w:t>
            </w:r>
          </w:p>
        </w:tc>
        <w:tc>
          <w:tcPr>
            <w:tcW w:w="2268" w:type="dxa"/>
          </w:tcPr>
          <w:p w:rsidR="00E14FE6" w:rsidRPr="00DC71E9" w:rsidRDefault="00E14FE6" w:rsidP="00C65C86">
            <w:pPr>
              <w:rPr>
                <w:lang w:val="fr-FR"/>
              </w:rPr>
            </w:pPr>
          </w:p>
        </w:tc>
        <w:tc>
          <w:tcPr>
            <w:tcW w:w="1984" w:type="dxa"/>
          </w:tcPr>
          <w:p w:rsidR="00E14FE6" w:rsidRPr="00DC71E9" w:rsidRDefault="00E14FE6" w:rsidP="00C65C86">
            <w:pPr>
              <w:rPr>
                <w:lang w:val="fr-FR"/>
              </w:rPr>
            </w:pPr>
          </w:p>
        </w:tc>
        <w:tc>
          <w:tcPr>
            <w:tcW w:w="1985" w:type="dxa"/>
          </w:tcPr>
          <w:p w:rsidR="00E14FE6" w:rsidRPr="00DC71E9" w:rsidRDefault="00E14FE6" w:rsidP="00C65C86">
            <w:pPr>
              <w:rPr>
                <w:lang w:val="fr-FR"/>
              </w:rPr>
            </w:pPr>
          </w:p>
        </w:tc>
      </w:tr>
      <w:tr w:rsidR="00A67868" w:rsidRPr="00DC71E9" w:rsidTr="00E14FE6">
        <w:tc>
          <w:tcPr>
            <w:tcW w:w="2802" w:type="dxa"/>
          </w:tcPr>
          <w:p w:rsidR="00A67868" w:rsidRDefault="00A67868" w:rsidP="00C65C86">
            <w:pPr>
              <w:rPr>
                <w:rFonts w:ascii="Arial" w:hAnsi="Arial" w:cs="Arial"/>
                <w:sz w:val="20"/>
                <w:szCs w:val="20"/>
                <w:lang w:val="fr-FR"/>
              </w:rPr>
            </w:pPr>
            <w:r>
              <w:t>Agressivité, insatisfaction, irritabilité</w:t>
            </w:r>
          </w:p>
        </w:tc>
        <w:tc>
          <w:tcPr>
            <w:tcW w:w="2268" w:type="dxa"/>
          </w:tcPr>
          <w:p w:rsidR="00A67868" w:rsidRPr="00DC71E9" w:rsidRDefault="00A67868" w:rsidP="00C65C86">
            <w:pPr>
              <w:rPr>
                <w:lang w:val="fr-FR"/>
              </w:rPr>
            </w:pPr>
          </w:p>
        </w:tc>
        <w:tc>
          <w:tcPr>
            <w:tcW w:w="1984" w:type="dxa"/>
          </w:tcPr>
          <w:p w:rsidR="00A67868" w:rsidRPr="00DC71E9" w:rsidRDefault="00A67868" w:rsidP="00C65C86">
            <w:pPr>
              <w:rPr>
                <w:lang w:val="fr-FR"/>
              </w:rPr>
            </w:pPr>
          </w:p>
        </w:tc>
        <w:tc>
          <w:tcPr>
            <w:tcW w:w="1985" w:type="dxa"/>
          </w:tcPr>
          <w:p w:rsidR="00A67868" w:rsidRPr="00DC71E9" w:rsidRDefault="00A67868" w:rsidP="00C65C86">
            <w:pPr>
              <w:rPr>
                <w:lang w:val="fr-FR"/>
              </w:rPr>
            </w:pPr>
          </w:p>
        </w:tc>
      </w:tr>
      <w:tr w:rsidR="00E14FE6" w:rsidRPr="00906A73" w:rsidTr="00E14FE6">
        <w:tc>
          <w:tcPr>
            <w:tcW w:w="2802" w:type="dxa"/>
          </w:tcPr>
          <w:p w:rsidR="00E14FE6" w:rsidRPr="00E14FE6" w:rsidRDefault="00E14FE6" w:rsidP="001C36E7">
            <w:pPr>
              <w:rPr>
                <w:rFonts w:ascii="Arial" w:hAnsi="Arial" w:cs="Arial"/>
                <w:sz w:val="20"/>
                <w:szCs w:val="20"/>
                <w:lang w:val="fr-FR"/>
              </w:rPr>
            </w:pPr>
            <w:r w:rsidRPr="00E14FE6">
              <w:rPr>
                <w:rFonts w:ascii="Arial" w:hAnsi="Arial" w:cs="Arial"/>
                <w:sz w:val="20"/>
                <w:szCs w:val="20"/>
                <w:lang w:val="fr-FR"/>
              </w:rPr>
              <w:t>Perte d’appétit, troubles du comportement alimentaire</w:t>
            </w:r>
          </w:p>
        </w:tc>
        <w:tc>
          <w:tcPr>
            <w:tcW w:w="2268" w:type="dxa"/>
          </w:tcPr>
          <w:p w:rsidR="00E14FE6" w:rsidRPr="00DC71E9" w:rsidRDefault="00E14FE6" w:rsidP="00C65C86">
            <w:pPr>
              <w:rPr>
                <w:lang w:val="fr-FR"/>
              </w:rPr>
            </w:pPr>
          </w:p>
        </w:tc>
        <w:tc>
          <w:tcPr>
            <w:tcW w:w="1984" w:type="dxa"/>
          </w:tcPr>
          <w:p w:rsidR="00E14FE6" w:rsidRPr="00DC71E9" w:rsidRDefault="00E14FE6" w:rsidP="00C65C86">
            <w:pPr>
              <w:rPr>
                <w:lang w:val="fr-FR"/>
              </w:rPr>
            </w:pPr>
          </w:p>
        </w:tc>
        <w:tc>
          <w:tcPr>
            <w:tcW w:w="1985" w:type="dxa"/>
          </w:tcPr>
          <w:p w:rsidR="00E14FE6" w:rsidRPr="00DC71E9" w:rsidRDefault="00E14FE6" w:rsidP="00C65C86">
            <w:pPr>
              <w:rPr>
                <w:lang w:val="fr-FR"/>
              </w:rPr>
            </w:pPr>
          </w:p>
        </w:tc>
      </w:tr>
      <w:tr w:rsidR="00E14FE6" w:rsidRPr="00906A73" w:rsidTr="00E14FE6">
        <w:tc>
          <w:tcPr>
            <w:tcW w:w="2802" w:type="dxa"/>
          </w:tcPr>
          <w:p w:rsidR="00E14FE6" w:rsidRPr="00A67868" w:rsidRDefault="00A67868" w:rsidP="00A67868">
            <w:pPr>
              <w:rPr>
                <w:rFonts w:ascii="Arial" w:hAnsi="Arial" w:cs="Arial"/>
                <w:sz w:val="20"/>
                <w:szCs w:val="20"/>
                <w:lang w:val="fr-FR"/>
              </w:rPr>
            </w:pPr>
            <w:r w:rsidRPr="00A67868">
              <w:rPr>
                <w:rFonts w:ascii="Arial" w:hAnsi="Arial" w:cs="Arial"/>
                <w:sz w:val="20"/>
                <w:szCs w:val="20"/>
                <w:lang w:val="fr-FR"/>
              </w:rPr>
              <w:t>Fatigue, difficulté à effectuer des activités quotidiennes, manque d’énergie</w:t>
            </w:r>
          </w:p>
        </w:tc>
        <w:tc>
          <w:tcPr>
            <w:tcW w:w="2268" w:type="dxa"/>
          </w:tcPr>
          <w:p w:rsidR="00E14FE6" w:rsidRPr="00DC71E9" w:rsidRDefault="00E14FE6" w:rsidP="00C65C86">
            <w:pPr>
              <w:rPr>
                <w:lang w:val="fr-FR"/>
              </w:rPr>
            </w:pPr>
          </w:p>
        </w:tc>
        <w:tc>
          <w:tcPr>
            <w:tcW w:w="1984" w:type="dxa"/>
          </w:tcPr>
          <w:p w:rsidR="00E14FE6" w:rsidRPr="00DC71E9" w:rsidRDefault="00E14FE6" w:rsidP="00C65C86">
            <w:pPr>
              <w:rPr>
                <w:lang w:val="fr-FR"/>
              </w:rPr>
            </w:pPr>
          </w:p>
        </w:tc>
        <w:tc>
          <w:tcPr>
            <w:tcW w:w="1985" w:type="dxa"/>
          </w:tcPr>
          <w:p w:rsidR="00E14FE6" w:rsidRPr="00DC71E9" w:rsidRDefault="00E14FE6" w:rsidP="00C65C86">
            <w:pPr>
              <w:rPr>
                <w:lang w:val="fr-FR"/>
              </w:rPr>
            </w:pPr>
          </w:p>
        </w:tc>
      </w:tr>
      <w:tr w:rsidR="00E14FE6" w:rsidRPr="00DC71E9" w:rsidTr="00E14FE6">
        <w:tc>
          <w:tcPr>
            <w:tcW w:w="2802" w:type="dxa"/>
          </w:tcPr>
          <w:p w:rsidR="00E14FE6" w:rsidRPr="00A67868" w:rsidRDefault="00A67868" w:rsidP="00C65C86">
            <w:pPr>
              <w:rPr>
                <w:rFonts w:ascii="Arial" w:hAnsi="Arial" w:cs="Arial"/>
                <w:sz w:val="20"/>
                <w:szCs w:val="20"/>
                <w:lang w:val="fr-FR"/>
              </w:rPr>
            </w:pPr>
            <w:r w:rsidRPr="00A67868">
              <w:rPr>
                <w:rFonts w:ascii="Arial" w:hAnsi="Arial" w:cs="Arial"/>
                <w:sz w:val="20"/>
                <w:szCs w:val="20"/>
              </w:rPr>
              <w:t>Dévalorisation de soi</w:t>
            </w:r>
          </w:p>
        </w:tc>
        <w:tc>
          <w:tcPr>
            <w:tcW w:w="2268" w:type="dxa"/>
          </w:tcPr>
          <w:p w:rsidR="00E14FE6" w:rsidRPr="00DC71E9" w:rsidRDefault="00E14FE6" w:rsidP="00C65C86">
            <w:pPr>
              <w:rPr>
                <w:lang w:val="fr-FR"/>
              </w:rPr>
            </w:pPr>
          </w:p>
        </w:tc>
        <w:tc>
          <w:tcPr>
            <w:tcW w:w="1984" w:type="dxa"/>
          </w:tcPr>
          <w:p w:rsidR="00E14FE6" w:rsidRPr="00DC71E9" w:rsidRDefault="00E14FE6" w:rsidP="00C65C86">
            <w:pPr>
              <w:rPr>
                <w:lang w:val="fr-FR"/>
              </w:rPr>
            </w:pPr>
          </w:p>
        </w:tc>
        <w:tc>
          <w:tcPr>
            <w:tcW w:w="1985" w:type="dxa"/>
          </w:tcPr>
          <w:p w:rsidR="00E14FE6" w:rsidRPr="00DC71E9" w:rsidRDefault="00E14FE6" w:rsidP="00C65C86">
            <w:pPr>
              <w:rPr>
                <w:lang w:val="fr-FR"/>
              </w:rPr>
            </w:pPr>
          </w:p>
        </w:tc>
      </w:tr>
      <w:tr w:rsidR="00A67868" w:rsidRPr="00DC71E9" w:rsidTr="00E14FE6">
        <w:tc>
          <w:tcPr>
            <w:tcW w:w="2802" w:type="dxa"/>
          </w:tcPr>
          <w:p w:rsidR="00A67868" w:rsidRPr="00A67868" w:rsidRDefault="00A67868" w:rsidP="00C65C86">
            <w:pPr>
              <w:rPr>
                <w:rFonts w:ascii="Arial" w:hAnsi="Arial" w:cs="Arial"/>
                <w:sz w:val="20"/>
                <w:szCs w:val="20"/>
              </w:rPr>
            </w:pPr>
            <w:r>
              <w:rPr>
                <w:rFonts w:ascii="Arial" w:hAnsi="Arial" w:cs="Arial"/>
                <w:sz w:val="20"/>
                <w:szCs w:val="20"/>
              </w:rPr>
              <w:t>Baisse des résultats scolaires</w:t>
            </w:r>
          </w:p>
        </w:tc>
        <w:tc>
          <w:tcPr>
            <w:tcW w:w="2268" w:type="dxa"/>
          </w:tcPr>
          <w:p w:rsidR="00A67868" w:rsidRPr="00DC71E9" w:rsidRDefault="00A67868" w:rsidP="00C65C86">
            <w:pPr>
              <w:rPr>
                <w:lang w:val="fr-FR"/>
              </w:rPr>
            </w:pPr>
          </w:p>
        </w:tc>
        <w:tc>
          <w:tcPr>
            <w:tcW w:w="1984" w:type="dxa"/>
          </w:tcPr>
          <w:p w:rsidR="00A67868" w:rsidRPr="00DC71E9" w:rsidRDefault="00A67868" w:rsidP="00C65C86">
            <w:pPr>
              <w:rPr>
                <w:lang w:val="fr-FR"/>
              </w:rPr>
            </w:pPr>
          </w:p>
        </w:tc>
        <w:tc>
          <w:tcPr>
            <w:tcW w:w="1985" w:type="dxa"/>
          </w:tcPr>
          <w:p w:rsidR="00A67868" w:rsidRPr="00DC71E9" w:rsidRDefault="00A67868" w:rsidP="00C65C86">
            <w:pPr>
              <w:rPr>
                <w:lang w:val="fr-FR"/>
              </w:rPr>
            </w:pPr>
          </w:p>
        </w:tc>
      </w:tr>
      <w:tr w:rsidR="00E14FE6" w:rsidRPr="00906A73" w:rsidTr="00E14FE6">
        <w:tc>
          <w:tcPr>
            <w:tcW w:w="2802" w:type="dxa"/>
          </w:tcPr>
          <w:p w:rsidR="00E14FE6" w:rsidRPr="00A67868" w:rsidRDefault="00A67868" w:rsidP="00C65C86">
            <w:pPr>
              <w:rPr>
                <w:rFonts w:ascii="Arial" w:hAnsi="Arial" w:cs="Arial"/>
                <w:sz w:val="20"/>
                <w:szCs w:val="20"/>
                <w:lang w:val="fr-FR"/>
              </w:rPr>
            </w:pPr>
            <w:r w:rsidRPr="00A67868">
              <w:rPr>
                <w:rFonts w:ascii="Arial" w:hAnsi="Arial" w:cs="Arial"/>
                <w:sz w:val="20"/>
                <w:szCs w:val="20"/>
                <w:lang w:val="fr-FR"/>
              </w:rPr>
              <w:t>Peur ou refus d’aller en c</w:t>
            </w:r>
            <w:r>
              <w:rPr>
                <w:rFonts w:ascii="Arial" w:hAnsi="Arial" w:cs="Arial"/>
                <w:sz w:val="20"/>
                <w:szCs w:val="20"/>
                <w:lang w:val="fr-FR"/>
              </w:rPr>
              <w:t>lasse</w:t>
            </w:r>
          </w:p>
        </w:tc>
        <w:tc>
          <w:tcPr>
            <w:tcW w:w="2268" w:type="dxa"/>
          </w:tcPr>
          <w:p w:rsidR="00E14FE6" w:rsidRPr="00DC71E9" w:rsidRDefault="00E14FE6" w:rsidP="00C65C86">
            <w:pPr>
              <w:rPr>
                <w:lang w:val="fr-FR"/>
              </w:rPr>
            </w:pPr>
          </w:p>
        </w:tc>
        <w:tc>
          <w:tcPr>
            <w:tcW w:w="1984" w:type="dxa"/>
          </w:tcPr>
          <w:p w:rsidR="00E14FE6" w:rsidRPr="00DC71E9" w:rsidRDefault="00E14FE6" w:rsidP="00C65C86">
            <w:pPr>
              <w:rPr>
                <w:lang w:val="fr-FR"/>
              </w:rPr>
            </w:pPr>
          </w:p>
        </w:tc>
        <w:tc>
          <w:tcPr>
            <w:tcW w:w="1985" w:type="dxa"/>
          </w:tcPr>
          <w:p w:rsidR="00E14FE6" w:rsidRPr="00DC71E9" w:rsidRDefault="00E14FE6" w:rsidP="00C65C86">
            <w:pPr>
              <w:rPr>
                <w:lang w:val="fr-FR"/>
              </w:rPr>
            </w:pPr>
          </w:p>
        </w:tc>
      </w:tr>
      <w:tr w:rsidR="00E14FE6" w:rsidRPr="00906A73" w:rsidTr="00E14FE6">
        <w:tc>
          <w:tcPr>
            <w:tcW w:w="2802" w:type="dxa"/>
          </w:tcPr>
          <w:p w:rsidR="00E14FE6" w:rsidRPr="00A67868" w:rsidRDefault="00A67868" w:rsidP="001C36E7">
            <w:pPr>
              <w:rPr>
                <w:rFonts w:ascii="Arial" w:hAnsi="Arial" w:cs="Arial"/>
                <w:sz w:val="20"/>
                <w:szCs w:val="20"/>
                <w:lang w:val="fr-FR"/>
              </w:rPr>
            </w:pPr>
            <w:r w:rsidRPr="00A67868">
              <w:rPr>
                <w:rFonts w:ascii="Arial" w:hAnsi="Arial" w:cs="Arial"/>
                <w:sz w:val="20"/>
                <w:szCs w:val="20"/>
                <w:lang w:val="fr-FR"/>
              </w:rPr>
              <w:t>Angoisse à la réception de SMS ou lors de la consultation de réseaux sociaux</w:t>
            </w:r>
          </w:p>
        </w:tc>
        <w:tc>
          <w:tcPr>
            <w:tcW w:w="2268" w:type="dxa"/>
          </w:tcPr>
          <w:p w:rsidR="00E14FE6" w:rsidRPr="00DC71E9" w:rsidRDefault="00E14FE6" w:rsidP="00C65C86">
            <w:pPr>
              <w:rPr>
                <w:lang w:val="fr-FR"/>
              </w:rPr>
            </w:pPr>
          </w:p>
        </w:tc>
        <w:tc>
          <w:tcPr>
            <w:tcW w:w="1984" w:type="dxa"/>
          </w:tcPr>
          <w:p w:rsidR="00E14FE6" w:rsidRPr="00DC71E9" w:rsidRDefault="00E14FE6" w:rsidP="00C65C86">
            <w:pPr>
              <w:rPr>
                <w:lang w:val="fr-FR"/>
              </w:rPr>
            </w:pPr>
          </w:p>
        </w:tc>
        <w:tc>
          <w:tcPr>
            <w:tcW w:w="1985" w:type="dxa"/>
          </w:tcPr>
          <w:p w:rsidR="00E14FE6" w:rsidRPr="00DC71E9" w:rsidRDefault="00E14FE6" w:rsidP="00C65C86">
            <w:pPr>
              <w:rPr>
                <w:lang w:val="fr-FR"/>
              </w:rPr>
            </w:pPr>
          </w:p>
        </w:tc>
      </w:tr>
      <w:tr w:rsidR="00E14FE6" w:rsidRPr="00906A73" w:rsidTr="00E14FE6">
        <w:tc>
          <w:tcPr>
            <w:tcW w:w="2802" w:type="dxa"/>
          </w:tcPr>
          <w:p w:rsidR="00E14FE6" w:rsidRPr="00A67868" w:rsidRDefault="00A67868" w:rsidP="001C36E7">
            <w:pPr>
              <w:rPr>
                <w:rFonts w:ascii="Arial" w:hAnsi="Arial" w:cs="Arial"/>
                <w:sz w:val="20"/>
                <w:szCs w:val="20"/>
                <w:lang w:val="fr-FR"/>
              </w:rPr>
            </w:pPr>
            <w:r w:rsidRPr="00A67868">
              <w:rPr>
                <w:rFonts w:ascii="Arial" w:hAnsi="Arial" w:cs="Arial"/>
                <w:sz w:val="20"/>
                <w:szCs w:val="20"/>
                <w:lang w:val="fr-FR"/>
              </w:rPr>
              <w:t>Réception d’appels téléphoniques désagréables ou inquiétants</w:t>
            </w:r>
          </w:p>
        </w:tc>
        <w:tc>
          <w:tcPr>
            <w:tcW w:w="2268" w:type="dxa"/>
          </w:tcPr>
          <w:p w:rsidR="00E14FE6" w:rsidRPr="00DC71E9" w:rsidRDefault="00E14FE6" w:rsidP="00C65C86">
            <w:pPr>
              <w:rPr>
                <w:lang w:val="fr-FR"/>
              </w:rPr>
            </w:pPr>
          </w:p>
        </w:tc>
        <w:tc>
          <w:tcPr>
            <w:tcW w:w="1984" w:type="dxa"/>
          </w:tcPr>
          <w:p w:rsidR="00E14FE6" w:rsidRPr="00DC71E9" w:rsidRDefault="00E14FE6" w:rsidP="00C65C86">
            <w:pPr>
              <w:rPr>
                <w:lang w:val="fr-FR"/>
              </w:rPr>
            </w:pPr>
          </w:p>
        </w:tc>
        <w:tc>
          <w:tcPr>
            <w:tcW w:w="1985" w:type="dxa"/>
          </w:tcPr>
          <w:p w:rsidR="00E14FE6" w:rsidRPr="00DC71E9" w:rsidRDefault="00E14FE6" w:rsidP="00C65C86">
            <w:pPr>
              <w:rPr>
                <w:lang w:val="fr-FR"/>
              </w:rPr>
            </w:pPr>
          </w:p>
        </w:tc>
      </w:tr>
      <w:tr w:rsidR="00E14FE6" w:rsidRPr="00906A73" w:rsidTr="00E14FE6">
        <w:tc>
          <w:tcPr>
            <w:tcW w:w="2802" w:type="dxa"/>
          </w:tcPr>
          <w:p w:rsidR="00E14FE6" w:rsidRPr="00A67868" w:rsidRDefault="00A67868" w:rsidP="001C36E7">
            <w:pPr>
              <w:rPr>
                <w:rFonts w:ascii="Arial" w:hAnsi="Arial" w:cs="Arial"/>
                <w:sz w:val="20"/>
                <w:szCs w:val="20"/>
                <w:lang w:val="fr-FR"/>
              </w:rPr>
            </w:pPr>
            <w:r w:rsidRPr="00A67868">
              <w:rPr>
                <w:rFonts w:ascii="Arial" w:hAnsi="Arial" w:cs="Arial"/>
                <w:sz w:val="20"/>
                <w:szCs w:val="20"/>
                <w:lang w:val="fr-FR"/>
              </w:rPr>
              <w:t>Fréquentation assidue des réseaux sociaux ou retrait total, associé à un mal-être</w:t>
            </w:r>
          </w:p>
        </w:tc>
        <w:tc>
          <w:tcPr>
            <w:tcW w:w="2268" w:type="dxa"/>
          </w:tcPr>
          <w:p w:rsidR="00E14FE6" w:rsidRPr="00DC71E9" w:rsidRDefault="00E14FE6" w:rsidP="00C65C86">
            <w:pPr>
              <w:rPr>
                <w:lang w:val="fr-FR"/>
              </w:rPr>
            </w:pPr>
          </w:p>
        </w:tc>
        <w:tc>
          <w:tcPr>
            <w:tcW w:w="1984" w:type="dxa"/>
          </w:tcPr>
          <w:p w:rsidR="00E14FE6" w:rsidRPr="00DC71E9" w:rsidRDefault="00E14FE6" w:rsidP="00C65C86">
            <w:pPr>
              <w:rPr>
                <w:lang w:val="fr-FR"/>
              </w:rPr>
            </w:pPr>
          </w:p>
        </w:tc>
        <w:tc>
          <w:tcPr>
            <w:tcW w:w="1985" w:type="dxa"/>
          </w:tcPr>
          <w:p w:rsidR="00E14FE6" w:rsidRPr="00DC71E9" w:rsidRDefault="00E14FE6" w:rsidP="00C65C86">
            <w:pPr>
              <w:rPr>
                <w:lang w:val="fr-FR"/>
              </w:rPr>
            </w:pPr>
          </w:p>
        </w:tc>
      </w:tr>
      <w:tr w:rsidR="00E14FE6" w:rsidRPr="00906A73" w:rsidTr="00E14FE6">
        <w:tc>
          <w:tcPr>
            <w:tcW w:w="2802" w:type="dxa"/>
          </w:tcPr>
          <w:p w:rsidR="00E14FE6" w:rsidRPr="00A67868" w:rsidRDefault="00A67868" w:rsidP="001C36E7">
            <w:pPr>
              <w:rPr>
                <w:rFonts w:ascii="Arial" w:hAnsi="Arial" w:cs="Arial"/>
                <w:sz w:val="20"/>
                <w:szCs w:val="20"/>
                <w:lang w:val="fr-FR"/>
              </w:rPr>
            </w:pPr>
            <w:r w:rsidRPr="00A67868">
              <w:rPr>
                <w:lang w:val="fr-FR"/>
              </w:rPr>
              <w:t>Repli sur soi, isolement vis-à-vis des autres membres de la famille</w:t>
            </w:r>
          </w:p>
        </w:tc>
        <w:tc>
          <w:tcPr>
            <w:tcW w:w="2268" w:type="dxa"/>
          </w:tcPr>
          <w:p w:rsidR="00E14FE6" w:rsidRPr="00DC71E9" w:rsidRDefault="00E14FE6" w:rsidP="00C65C86">
            <w:pPr>
              <w:rPr>
                <w:lang w:val="fr-FR"/>
              </w:rPr>
            </w:pPr>
          </w:p>
        </w:tc>
        <w:tc>
          <w:tcPr>
            <w:tcW w:w="1984" w:type="dxa"/>
          </w:tcPr>
          <w:p w:rsidR="00E14FE6" w:rsidRPr="00DC71E9" w:rsidRDefault="00E14FE6" w:rsidP="00C65C86">
            <w:pPr>
              <w:rPr>
                <w:lang w:val="fr-FR"/>
              </w:rPr>
            </w:pPr>
          </w:p>
        </w:tc>
        <w:tc>
          <w:tcPr>
            <w:tcW w:w="1985" w:type="dxa"/>
          </w:tcPr>
          <w:p w:rsidR="00E14FE6" w:rsidRPr="00DC71E9" w:rsidRDefault="00E14FE6" w:rsidP="00C65C86">
            <w:pPr>
              <w:rPr>
                <w:lang w:val="fr-FR"/>
              </w:rPr>
            </w:pPr>
          </w:p>
        </w:tc>
      </w:tr>
      <w:tr w:rsidR="00A67868" w:rsidRPr="00906A73" w:rsidTr="00E14FE6">
        <w:tc>
          <w:tcPr>
            <w:tcW w:w="2802" w:type="dxa"/>
          </w:tcPr>
          <w:p w:rsidR="00A67868" w:rsidRPr="00A67868" w:rsidRDefault="00A67868" w:rsidP="001C36E7">
            <w:pPr>
              <w:rPr>
                <w:lang w:val="fr-FR"/>
              </w:rPr>
            </w:pPr>
            <w:r w:rsidRPr="00A67868">
              <w:rPr>
                <w:lang w:val="fr-FR"/>
              </w:rPr>
              <w:t>Hors de</w:t>
            </w:r>
            <w:r>
              <w:rPr>
                <w:lang w:val="fr-FR"/>
              </w:rPr>
              <w:t xml:space="preserve"> l’établissement changement </w:t>
            </w:r>
            <w:r w:rsidRPr="00A67868">
              <w:rPr>
                <w:lang w:val="fr-FR"/>
              </w:rPr>
              <w:t>de relations avec ses camarades</w:t>
            </w:r>
          </w:p>
        </w:tc>
        <w:tc>
          <w:tcPr>
            <w:tcW w:w="2268" w:type="dxa"/>
          </w:tcPr>
          <w:p w:rsidR="00A67868" w:rsidRPr="00DC71E9" w:rsidRDefault="00A67868" w:rsidP="00C65C86">
            <w:pPr>
              <w:rPr>
                <w:lang w:val="fr-FR"/>
              </w:rPr>
            </w:pPr>
          </w:p>
        </w:tc>
        <w:tc>
          <w:tcPr>
            <w:tcW w:w="1984" w:type="dxa"/>
          </w:tcPr>
          <w:p w:rsidR="00A67868" w:rsidRPr="00DC71E9" w:rsidRDefault="00A67868" w:rsidP="00C65C86">
            <w:pPr>
              <w:rPr>
                <w:lang w:val="fr-FR"/>
              </w:rPr>
            </w:pPr>
          </w:p>
        </w:tc>
        <w:tc>
          <w:tcPr>
            <w:tcW w:w="1985" w:type="dxa"/>
          </w:tcPr>
          <w:p w:rsidR="00A67868" w:rsidRPr="00DC71E9" w:rsidRDefault="00A67868" w:rsidP="00C65C86">
            <w:pPr>
              <w:rPr>
                <w:lang w:val="fr-FR"/>
              </w:rPr>
            </w:pPr>
          </w:p>
        </w:tc>
      </w:tr>
      <w:tr w:rsidR="00E14FE6" w:rsidRPr="00DC71E9" w:rsidTr="00E14FE6">
        <w:tc>
          <w:tcPr>
            <w:tcW w:w="2802" w:type="dxa"/>
          </w:tcPr>
          <w:p w:rsidR="00E14FE6" w:rsidRPr="001C36E7" w:rsidRDefault="00A67868" w:rsidP="001C36E7">
            <w:pPr>
              <w:rPr>
                <w:rFonts w:ascii="Arial" w:hAnsi="Arial" w:cs="Arial"/>
                <w:sz w:val="20"/>
                <w:szCs w:val="20"/>
                <w:lang w:val="fr-FR"/>
              </w:rPr>
            </w:pPr>
            <w:r>
              <w:t>Affaires perdues, abimées, dégradées</w:t>
            </w:r>
          </w:p>
        </w:tc>
        <w:tc>
          <w:tcPr>
            <w:tcW w:w="2268" w:type="dxa"/>
          </w:tcPr>
          <w:p w:rsidR="00E14FE6" w:rsidRPr="00DC71E9" w:rsidRDefault="00E14FE6" w:rsidP="00C65C86">
            <w:pPr>
              <w:rPr>
                <w:lang w:val="fr-FR"/>
              </w:rPr>
            </w:pPr>
          </w:p>
        </w:tc>
        <w:tc>
          <w:tcPr>
            <w:tcW w:w="1984" w:type="dxa"/>
          </w:tcPr>
          <w:p w:rsidR="00E14FE6" w:rsidRPr="00DC71E9" w:rsidRDefault="00E14FE6" w:rsidP="00C65C86">
            <w:pPr>
              <w:rPr>
                <w:lang w:val="fr-FR"/>
              </w:rPr>
            </w:pPr>
          </w:p>
        </w:tc>
        <w:tc>
          <w:tcPr>
            <w:tcW w:w="1985" w:type="dxa"/>
          </w:tcPr>
          <w:p w:rsidR="00E14FE6" w:rsidRPr="00DC71E9" w:rsidRDefault="00E14FE6" w:rsidP="00C65C86">
            <w:pPr>
              <w:rPr>
                <w:lang w:val="fr-FR"/>
              </w:rPr>
            </w:pPr>
          </w:p>
        </w:tc>
      </w:tr>
      <w:tr w:rsidR="00E14FE6" w:rsidRPr="00906A73" w:rsidTr="00E14FE6">
        <w:tc>
          <w:tcPr>
            <w:tcW w:w="2802" w:type="dxa"/>
          </w:tcPr>
          <w:p w:rsidR="00E14FE6" w:rsidRPr="00A67868" w:rsidRDefault="00A67868" w:rsidP="001C36E7">
            <w:pPr>
              <w:rPr>
                <w:rFonts w:ascii="Arial" w:hAnsi="Arial" w:cs="Arial"/>
                <w:sz w:val="20"/>
                <w:szCs w:val="20"/>
                <w:lang w:val="fr-FR"/>
              </w:rPr>
            </w:pPr>
            <w:r w:rsidRPr="00A67868">
              <w:rPr>
                <w:lang w:val="fr-FR"/>
              </w:rPr>
              <w:t>Augmentation de la demande d’argent de poche ou disparition d’argent ou d’objet à la maison (racket)</w:t>
            </w:r>
          </w:p>
        </w:tc>
        <w:tc>
          <w:tcPr>
            <w:tcW w:w="2268" w:type="dxa"/>
          </w:tcPr>
          <w:p w:rsidR="00E14FE6" w:rsidRPr="00DC71E9" w:rsidRDefault="00E14FE6" w:rsidP="00C65C86">
            <w:pPr>
              <w:rPr>
                <w:lang w:val="fr-FR"/>
              </w:rPr>
            </w:pPr>
          </w:p>
        </w:tc>
        <w:tc>
          <w:tcPr>
            <w:tcW w:w="1984" w:type="dxa"/>
          </w:tcPr>
          <w:p w:rsidR="00E14FE6" w:rsidRPr="00DC71E9" w:rsidRDefault="00E14FE6" w:rsidP="00C65C86">
            <w:pPr>
              <w:rPr>
                <w:lang w:val="fr-FR"/>
              </w:rPr>
            </w:pPr>
          </w:p>
        </w:tc>
        <w:tc>
          <w:tcPr>
            <w:tcW w:w="1985" w:type="dxa"/>
          </w:tcPr>
          <w:p w:rsidR="00E14FE6" w:rsidRPr="00DC71E9" w:rsidRDefault="00E14FE6" w:rsidP="00C65C86">
            <w:pPr>
              <w:rPr>
                <w:lang w:val="fr-FR"/>
              </w:rPr>
            </w:pPr>
          </w:p>
        </w:tc>
      </w:tr>
      <w:tr w:rsidR="00E14FE6" w:rsidRPr="00906A73" w:rsidTr="00E14FE6">
        <w:tc>
          <w:tcPr>
            <w:tcW w:w="2802" w:type="dxa"/>
          </w:tcPr>
          <w:p w:rsidR="00E14FE6" w:rsidRPr="00A67868" w:rsidRDefault="00A67868" w:rsidP="001C36E7">
            <w:pPr>
              <w:rPr>
                <w:rFonts w:ascii="Arial" w:hAnsi="Arial" w:cs="Arial"/>
                <w:sz w:val="20"/>
                <w:szCs w:val="20"/>
                <w:lang w:val="fr-FR"/>
              </w:rPr>
            </w:pPr>
            <w:r w:rsidRPr="00A67868">
              <w:rPr>
                <w:lang w:val="fr-FR"/>
              </w:rPr>
              <w:lastRenderedPageBreak/>
              <w:t>Bleus/marques de coups/griffures</w:t>
            </w:r>
          </w:p>
        </w:tc>
        <w:tc>
          <w:tcPr>
            <w:tcW w:w="2268" w:type="dxa"/>
          </w:tcPr>
          <w:p w:rsidR="00E14FE6" w:rsidRPr="00DC71E9" w:rsidRDefault="00E14FE6" w:rsidP="00C65C86">
            <w:pPr>
              <w:rPr>
                <w:lang w:val="fr-FR"/>
              </w:rPr>
            </w:pPr>
          </w:p>
        </w:tc>
        <w:tc>
          <w:tcPr>
            <w:tcW w:w="1984" w:type="dxa"/>
          </w:tcPr>
          <w:p w:rsidR="00E14FE6" w:rsidRPr="00DC71E9" w:rsidRDefault="00E14FE6" w:rsidP="00C65C86">
            <w:pPr>
              <w:rPr>
                <w:lang w:val="fr-FR"/>
              </w:rPr>
            </w:pPr>
          </w:p>
        </w:tc>
        <w:tc>
          <w:tcPr>
            <w:tcW w:w="1985" w:type="dxa"/>
          </w:tcPr>
          <w:p w:rsidR="00E14FE6" w:rsidRPr="00DC71E9" w:rsidRDefault="00E14FE6" w:rsidP="00C65C86">
            <w:pPr>
              <w:rPr>
                <w:lang w:val="fr-FR"/>
              </w:rPr>
            </w:pPr>
          </w:p>
        </w:tc>
      </w:tr>
      <w:tr w:rsidR="00A67868" w:rsidRPr="00906A73" w:rsidTr="00E14FE6">
        <w:tc>
          <w:tcPr>
            <w:tcW w:w="2802" w:type="dxa"/>
          </w:tcPr>
          <w:p w:rsidR="00A67868" w:rsidRPr="00A67868" w:rsidRDefault="00A67868" w:rsidP="001C36E7">
            <w:pPr>
              <w:rPr>
                <w:lang w:val="fr-FR"/>
              </w:rPr>
            </w:pPr>
            <w:r w:rsidRPr="00A67868">
              <w:rPr>
                <w:lang w:val="fr-FR"/>
              </w:rPr>
              <w:t>Conduites à risques ou addictives</w:t>
            </w:r>
          </w:p>
        </w:tc>
        <w:tc>
          <w:tcPr>
            <w:tcW w:w="2268" w:type="dxa"/>
          </w:tcPr>
          <w:p w:rsidR="00A67868" w:rsidRPr="00DC71E9" w:rsidRDefault="00A67868" w:rsidP="00C65C86">
            <w:pPr>
              <w:rPr>
                <w:lang w:val="fr-FR"/>
              </w:rPr>
            </w:pPr>
          </w:p>
        </w:tc>
        <w:tc>
          <w:tcPr>
            <w:tcW w:w="1984" w:type="dxa"/>
          </w:tcPr>
          <w:p w:rsidR="00A67868" w:rsidRPr="00DC71E9" w:rsidRDefault="00A67868" w:rsidP="00C65C86">
            <w:pPr>
              <w:rPr>
                <w:lang w:val="fr-FR"/>
              </w:rPr>
            </w:pPr>
          </w:p>
        </w:tc>
        <w:tc>
          <w:tcPr>
            <w:tcW w:w="1985" w:type="dxa"/>
          </w:tcPr>
          <w:p w:rsidR="00A67868" w:rsidRPr="00DC71E9" w:rsidRDefault="00A67868" w:rsidP="00C65C86">
            <w:pPr>
              <w:rPr>
                <w:lang w:val="fr-FR"/>
              </w:rPr>
            </w:pPr>
          </w:p>
        </w:tc>
      </w:tr>
      <w:tr w:rsidR="00E14FE6" w:rsidRPr="00906A73" w:rsidTr="00E14FE6">
        <w:tc>
          <w:tcPr>
            <w:tcW w:w="2802" w:type="dxa"/>
          </w:tcPr>
          <w:p w:rsidR="00E14FE6" w:rsidRPr="00A67868" w:rsidRDefault="00A67868" w:rsidP="001C36E7">
            <w:pPr>
              <w:rPr>
                <w:rFonts w:ascii="Arial" w:hAnsi="Arial" w:cs="Arial"/>
                <w:sz w:val="20"/>
                <w:szCs w:val="20"/>
                <w:lang w:val="fr-FR"/>
              </w:rPr>
            </w:pPr>
            <w:r w:rsidRPr="00A67868">
              <w:rPr>
                <w:lang w:val="fr-FR"/>
              </w:rPr>
              <w:t>Condu</w:t>
            </w:r>
            <w:r>
              <w:rPr>
                <w:lang w:val="fr-FR"/>
              </w:rPr>
              <w:t>ites auto-mutilatoires (</w:t>
            </w:r>
            <w:r w:rsidRPr="00A67868">
              <w:rPr>
                <w:lang w:val="fr-FR"/>
              </w:rPr>
              <w:t xml:space="preserve"> se taillade le bras, se griffe, se blesse)</w:t>
            </w:r>
          </w:p>
        </w:tc>
        <w:tc>
          <w:tcPr>
            <w:tcW w:w="2268" w:type="dxa"/>
          </w:tcPr>
          <w:p w:rsidR="00E14FE6" w:rsidRPr="00DC71E9" w:rsidRDefault="00E14FE6" w:rsidP="00C65C86">
            <w:pPr>
              <w:rPr>
                <w:lang w:val="fr-FR"/>
              </w:rPr>
            </w:pPr>
          </w:p>
        </w:tc>
        <w:tc>
          <w:tcPr>
            <w:tcW w:w="1984" w:type="dxa"/>
          </w:tcPr>
          <w:p w:rsidR="00E14FE6" w:rsidRPr="00DC71E9" w:rsidRDefault="00E14FE6" w:rsidP="00C65C86">
            <w:pPr>
              <w:rPr>
                <w:lang w:val="fr-FR"/>
              </w:rPr>
            </w:pPr>
          </w:p>
        </w:tc>
        <w:tc>
          <w:tcPr>
            <w:tcW w:w="1985" w:type="dxa"/>
          </w:tcPr>
          <w:p w:rsidR="00E14FE6" w:rsidRPr="00DC71E9" w:rsidRDefault="00E14FE6" w:rsidP="00C65C86">
            <w:pPr>
              <w:rPr>
                <w:lang w:val="fr-FR"/>
              </w:rPr>
            </w:pPr>
          </w:p>
        </w:tc>
      </w:tr>
      <w:tr w:rsidR="00E14FE6" w:rsidRPr="00906A73" w:rsidTr="00E14FE6">
        <w:tc>
          <w:tcPr>
            <w:tcW w:w="2802" w:type="dxa"/>
          </w:tcPr>
          <w:p w:rsidR="00E14FE6" w:rsidRPr="001C36E7" w:rsidRDefault="00A67868" w:rsidP="00A67868">
            <w:pPr>
              <w:rPr>
                <w:rFonts w:ascii="Arial" w:hAnsi="Arial" w:cs="Arial"/>
                <w:sz w:val="20"/>
                <w:szCs w:val="20"/>
                <w:lang w:val="fr-FR"/>
              </w:rPr>
            </w:pPr>
            <w:r>
              <w:rPr>
                <w:rFonts w:ascii="Arial" w:hAnsi="Arial" w:cs="Arial"/>
                <w:sz w:val="20"/>
                <w:szCs w:val="20"/>
                <w:lang w:val="fr-FR"/>
              </w:rPr>
              <w:t>Evocations d´idées noires ou consultation de sites internet sur le suicide</w:t>
            </w:r>
          </w:p>
        </w:tc>
        <w:tc>
          <w:tcPr>
            <w:tcW w:w="2268" w:type="dxa"/>
          </w:tcPr>
          <w:p w:rsidR="00E14FE6" w:rsidRPr="00DC71E9" w:rsidRDefault="00E14FE6" w:rsidP="00C65C86">
            <w:pPr>
              <w:rPr>
                <w:lang w:val="fr-FR"/>
              </w:rPr>
            </w:pPr>
          </w:p>
        </w:tc>
        <w:tc>
          <w:tcPr>
            <w:tcW w:w="1984" w:type="dxa"/>
          </w:tcPr>
          <w:p w:rsidR="00E14FE6" w:rsidRPr="00DC71E9" w:rsidRDefault="00E14FE6" w:rsidP="00C65C86">
            <w:pPr>
              <w:rPr>
                <w:lang w:val="fr-FR"/>
              </w:rPr>
            </w:pPr>
          </w:p>
        </w:tc>
        <w:tc>
          <w:tcPr>
            <w:tcW w:w="1985" w:type="dxa"/>
          </w:tcPr>
          <w:p w:rsidR="00E14FE6" w:rsidRPr="00DC71E9" w:rsidRDefault="00E14FE6" w:rsidP="00C65C86">
            <w:pPr>
              <w:rPr>
                <w:lang w:val="fr-FR"/>
              </w:rPr>
            </w:pPr>
          </w:p>
        </w:tc>
      </w:tr>
    </w:tbl>
    <w:p w:rsidR="001C36E7" w:rsidRPr="001C36E7" w:rsidRDefault="001C36E7" w:rsidP="001C36E7">
      <w:pPr>
        <w:jc w:val="both"/>
        <w:rPr>
          <w:rFonts w:ascii="Arial" w:hAnsi="Arial" w:cs="Arial"/>
          <w:lang w:val="fr-FR"/>
        </w:rPr>
      </w:pPr>
    </w:p>
    <w:sectPr w:rsidR="001C36E7" w:rsidRPr="001C36E7" w:rsidSect="009F0A1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A5F" w:rsidRDefault="00B20A5F" w:rsidP="001C36E7">
      <w:pPr>
        <w:spacing w:after="0" w:line="240" w:lineRule="auto"/>
      </w:pPr>
      <w:r>
        <w:separator/>
      </w:r>
    </w:p>
  </w:endnote>
  <w:endnote w:type="continuationSeparator" w:id="1">
    <w:p w:rsidR="00B20A5F" w:rsidRDefault="00B20A5F" w:rsidP="001C3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A5F" w:rsidRDefault="00B20A5F" w:rsidP="001C36E7">
      <w:pPr>
        <w:spacing w:after="0" w:line="240" w:lineRule="auto"/>
      </w:pPr>
      <w:r>
        <w:separator/>
      </w:r>
    </w:p>
  </w:footnote>
  <w:footnote w:type="continuationSeparator" w:id="1">
    <w:p w:rsidR="00B20A5F" w:rsidRDefault="00B20A5F" w:rsidP="001C36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F1008"/>
    <w:multiLevelType w:val="hybridMultilevel"/>
    <w:tmpl w:val="5B1EE09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hyphenationZone w:val="425"/>
  <w:characterSpacingControl w:val="doNotCompress"/>
  <w:footnotePr>
    <w:footnote w:id="0"/>
    <w:footnote w:id="1"/>
  </w:footnotePr>
  <w:endnotePr>
    <w:endnote w:id="0"/>
    <w:endnote w:id="1"/>
  </w:endnotePr>
  <w:compat/>
  <w:rsids>
    <w:rsidRoot w:val="001C36E7"/>
    <w:rsid w:val="001C36E7"/>
    <w:rsid w:val="005F732C"/>
    <w:rsid w:val="00771104"/>
    <w:rsid w:val="00906A73"/>
    <w:rsid w:val="009F0A17"/>
    <w:rsid w:val="00A67868"/>
    <w:rsid w:val="00B20A5F"/>
    <w:rsid w:val="00E14FE6"/>
    <w:rsid w:val="00FD51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A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36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36E7"/>
    <w:rPr>
      <w:rFonts w:ascii="Tahoma" w:hAnsi="Tahoma" w:cs="Tahoma"/>
      <w:sz w:val="16"/>
      <w:szCs w:val="16"/>
    </w:rPr>
  </w:style>
  <w:style w:type="table" w:styleId="Grilledutableau">
    <w:name w:val="Table Grid"/>
    <w:basedOn w:val="TableauNormal"/>
    <w:uiPriority w:val="59"/>
    <w:rsid w:val="001C36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1C36E7"/>
    <w:pPr>
      <w:spacing w:after="0" w:line="240" w:lineRule="auto"/>
    </w:pPr>
  </w:style>
  <w:style w:type="paragraph" w:styleId="Notedefin">
    <w:name w:val="endnote text"/>
    <w:basedOn w:val="Normal"/>
    <w:link w:val="NotedefinCar"/>
    <w:uiPriority w:val="99"/>
    <w:semiHidden/>
    <w:unhideWhenUsed/>
    <w:rsid w:val="001C36E7"/>
    <w:pPr>
      <w:spacing w:after="0" w:line="240" w:lineRule="auto"/>
    </w:pPr>
    <w:rPr>
      <w:sz w:val="20"/>
      <w:szCs w:val="20"/>
    </w:rPr>
  </w:style>
  <w:style w:type="character" w:customStyle="1" w:styleId="NotedefinCar">
    <w:name w:val="Note de fin Car"/>
    <w:basedOn w:val="Policepardfaut"/>
    <w:link w:val="Notedefin"/>
    <w:uiPriority w:val="99"/>
    <w:semiHidden/>
    <w:rsid w:val="001C36E7"/>
    <w:rPr>
      <w:sz w:val="20"/>
      <w:szCs w:val="20"/>
    </w:rPr>
  </w:style>
  <w:style w:type="character" w:styleId="Appeldenotedefin">
    <w:name w:val="endnote reference"/>
    <w:basedOn w:val="Policepardfaut"/>
    <w:uiPriority w:val="99"/>
    <w:semiHidden/>
    <w:unhideWhenUsed/>
    <w:rsid w:val="001C36E7"/>
    <w:rPr>
      <w:vertAlign w:val="superscript"/>
    </w:rPr>
  </w:style>
  <w:style w:type="character" w:styleId="Lienhypertexte">
    <w:name w:val="Hyperlink"/>
    <w:basedOn w:val="Policepardfaut"/>
    <w:uiPriority w:val="99"/>
    <w:unhideWhenUsed/>
    <w:rsid w:val="001C36E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evention@lfi-ibiza.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02F48-580B-4208-9E9F-CD191184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582</Words>
  <Characters>3204</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 LFI</dc:creator>
  <cp:lastModifiedBy>Direction</cp:lastModifiedBy>
  <cp:revision>4</cp:revision>
  <dcterms:created xsi:type="dcterms:W3CDTF">2022-06-24T11:54:00Z</dcterms:created>
  <dcterms:modified xsi:type="dcterms:W3CDTF">2025-02-18T14:30:00Z</dcterms:modified>
</cp:coreProperties>
</file>